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92" w:type="dxa"/>
        <w:tblInd w:w="-12" w:type="dxa"/>
        <w:tblLayout w:type="fixed"/>
        <w:tblLook w:val="0000" w:firstRow="0" w:lastRow="0" w:firstColumn="0" w:lastColumn="0" w:noHBand="0" w:noVBand="0"/>
      </w:tblPr>
      <w:tblGrid>
        <w:gridCol w:w="665"/>
        <w:gridCol w:w="6967"/>
        <w:gridCol w:w="1560"/>
      </w:tblGrid>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Default="00C22D0B" w:rsidP="00094D21">
            <w:pPr>
              <w:spacing w:after="120"/>
              <w:ind w:left="355" w:hanging="355"/>
              <w:jc w:val="center"/>
              <w:rPr>
                <w:rFonts w:ascii="Arial Mäori" w:hAnsi="Arial Mäori" w:cs="Arial Mäori"/>
                <w:b/>
                <w:sz w:val="22"/>
                <w:u w:val="single"/>
              </w:rPr>
            </w:pPr>
            <w:r>
              <w:rPr>
                <w:rFonts w:ascii="Arial Mäori" w:hAnsi="Arial Mäori" w:cs="Arial Mäori"/>
                <w:b/>
                <w:sz w:val="22"/>
                <w:u w:val="single"/>
              </w:rPr>
              <w:t>CANON XXXVI</w:t>
            </w:r>
          </w:p>
          <w:p w:rsidR="00C22D0B" w:rsidRPr="00CC0FE3" w:rsidRDefault="00C22D0B" w:rsidP="00094D21">
            <w:pPr>
              <w:spacing w:after="120"/>
              <w:ind w:left="355" w:hanging="355"/>
              <w:jc w:val="center"/>
              <w:rPr>
                <w:rFonts w:ascii="Arial Mäori" w:hAnsi="Arial Mäori" w:cs="Arial Mäori"/>
                <w:b/>
                <w:sz w:val="22"/>
                <w:u w:val="single"/>
              </w:rPr>
            </w:pPr>
            <w:r>
              <w:rPr>
                <w:rFonts w:ascii="Arial Mäori" w:hAnsi="Arial Mäori" w:cs="Arial Mäori"/>
                <w:b/>
                <w:sz w:val="22"/>
                <w:u w:val="single"/>
              </w:rPr>
              <w:t>OF THE TIKANGA TORU YOUTH COMMISSION</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spacing w:val="-3"/>
                <w:sz w:val="22"/>
                <w:lang w:val="en-US"/>
              </w:rPr>
            </w:pPr>
          </w:p>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r>
              <w:rPr>
                <w:rFonts w:ascii="Arial Mäori" w:hAnsi="Arial Mäori" w:cs="Arial Mäori"/>
                <w:i/>
                <w:spacing w:val="-3"/>
                <w:sz w:val="18"/>
                <w:szCs w:val="18"/>
                <w:lang w:val="en-US"/>
              </w:rPr>
              <w:t>2010</w:t>
            </w:r>
          </w:p>
          <w:p w:rsidR="00817938" w:rsidRDefault="00817938"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spacing w:val="-3"/>
                <w:sz w:val="22"/>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Pr="00817938" w:rsidRDefault="00C22D0B" w:rsidP="00817938">
            <w:pPr>
              <w:spacing w:after="240"/>
              <w:ind w:left="357" w:hanging="357"/>
              <w:jc w:val="both"/>
              <w:rPr>
                <w:rFonts w:ascii="Arial Mäori" w:hAnsi="Arial Mäori" w:cs="Arial Mäori"/>
                <w:sz w:val="22"/>
              </w:rPr>
            </w:pPr>
            <w:r w:rsidRPr="00817938">
              <w:rPr>
                <w:rFonts w:ascii="Arial Mäori" w:hAnsi="Arial Mäori" w:cs="Arial Mäori"/>
                <w:b/>
                <w:sz w:val="22"/>
              </w:rPr>
              <w:t xml:space="preserve">Purpose.  </w:t>
            </w:r>
            <w:r w:rsidR="009D08B5" w:rsidRPr="00817938">
              <w:rPr>
                <w:rFonts w:ascii="Arial Mäori" w:hAnsi="Arial Mäori" w:cs="Arial Mäori"/>
                <w:sz w:val="22"/>
              </w:rPr>
              <w:t>The purpose of this Canon is to establish a Tikanga Toru Youth Commission to be this Church’s agent for Three Tikanga Youth Ministry.</w:t>
            </w:r>
          </w:p>
        </w:tc>
        <w:tc>
          <w:tcPr>
            <w:tcW w:w="1560" w:type="dxa"/>
          </w:tcPr>
          <w:p w:rsidR="00C22D0B" w:rsidRPr="00817938" w:rsidRDefault="009D08B5"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r w:rsidRPr="00817938">
              <w:rPr>
                <w:rFonts w:ascii="Arial Mäori" w:hAnsi="Arial Mäori" w:cs="Arial Mäori"/>
                <w:i/>
                <w:spacing w:val="-3"/>
                <w:sz w:val="18"/>
                <w:szCs w:val="18"/>
                <w:lang w:val="en-US"/>
              </w:rPr>
              <w:t>2014</w:t>
            </w: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Default="00C22D0B" w:rsidP="00094D21">
            <w:pPr>
              <w:spacing w:after="120"/>
              <w:ind w:left="355" w:hanging="355"/>
              <w:jc w:val="both"/>
              <w:rPr>
                <w:rFonts w:ascii="Arial Mäori" w:hAnsi="Arial Mäori" w:cs="Arial Mäori"/>
                <w:b/>
                <w:sz w:val="22"/>
              </w:rPr>
            </w:pPr>
            <w:r>
              <w:rPr>
                <w:rFonts w:ascii="Arial Mäori" w:hAnsi="Arial Mäori" w:cs="Arial Mäori"/>
                <w:b/>
                <w:sz w:val="22"/>
              </w:rPr>
              <w:t>PART 1:  Tikanga Toru Youth Commission</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spacing w:val="-3"/>
                <w:sz w:val="22"/>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Pr="00CC0FE3" w:rsidRDefault="00C22D0B" w:rsidP="00C22D0B">
            <w:pPr>
              <w:pStyle w:val="ListParagraph"/>
              <w:numPr>
                <w:ilvl w:val="0"/>
                <w:numId w:val="1"/>
              </w:numPr>
              <w:spacing w:after="120"/>
              <w:ind w:hanging="630"/>
              <w:jc w:val="both"/>
              <w:rPr>
                <w:rFonts w:ascii="Arial Mäori" w:hAnsi="Arial Mäori" w:cs="Arial Mäori"/>
                <w:sz w:val="22"/>
              </w:rPr>
            </w:pPr>
            <w:r>
              <w:rPr>
                <w:rFonts w:ascii="Arial Mäori" w:hAnsi="Arial Mäori" w:cs="Arial Mäori"/>
                <w:sz w:val="22"/>
              </w:rPr>
              <w:t>The functions of the Commission are:</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spacing w:val="-3"/>
                <w:sz w:val="22"/>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Pr="00CC0FE3" w:rsidRDefault="00C22D0B" w:rsidP="00C22D0B">
            <w:pPr>
              <w:pStyle w:val="ListParagraph"/>
              <w:numPr>
                <w:ilvl w:val="0"/>
                <w:numId w:val="4"/>
              </w:numPr>
              <w:spacing w:after="120"/>
              <w:ind w:left="1224" w:hanging="425"/>
              <w:jc w:val="both"/>
              <w:rPr>
                <w:rFonts w:ascii="Arial Mäori" w:hAnsi="Arial Mäori" w:cs="Arial Mäori"/>
                <w:sz w:val="22"/>
              </w:rPr>
            </w:pPr>
            <w:r>
              <w:rPr>
                <w:rFonts w:ascii="Arial Mäori" w:hAnsi="Arial Mäori" w:cs="Arial Mäori"/>
                <w:sz w:val="22"/>
              </w:rPr>
              <w:t>To recommend to the Standing Committee the appointment of the T</w:t>
            </w:r>
            <w:r w:rsidR="00A04491">
              <w:rPr>
                <w:rFonts w:ascii="Arial Mäori" w:hAnsi="Arial Mäori" w:cs="Arial Mäori"/>
                <w:sz w:val="22"/>
              </w:rPr>
              <w:t>hree Tikanga Youth Commissioner;</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spacing w:val="-3"/>
                <w:sz w:val="22"/>
                <w:lang w:val="en-US"/>
              </w:rPr>
            </w:pPr>
          </w:p>
        </w:tc>
      </w:tr>
      <w:tr w:rsidR="00817938" w:rsidRPr="00817938" w:rsidTr="00094D21">
        <w:tc>
          <w:tcPr>
            <w:tcW w:w="665" w:type="dxa"/>
          </w:tcPr>
          <w:p w:rsidR="00C22D0B" w:rsidRPr="00817938" w:rsidRDefault="00C22D0B" w:rsidP="00094D21">
            <w:pPr>
              <w:spacing w:after="120"/>
              <w:rPr>
                <w:rFonts w:ascii="Arial Mäori" w:hAnsi="Arial Mäori" w:cs="Arial Mäori"/>
                <w:spacing w:val="-3"/>
                <w:sz w:val="22"/>
                <w:lang w:val="en-US"/>
              </w:rPr>
            </w:pPr>
          </w:p>
        </w:tc>
        <w:tc>
          <w:tcPr>
            <w:tcW w:w="6967" w:type="dxa"/>
          </w:tcPr>
          <w:p w:rsidR="00C22D0B" w:rsidRPr="00817938" w:rsidRDefault="009D08B5" w:rsidP="00C22D0B">
            <w:pPr>
              <w:pStyle w:val="ListParagraph"/>
              <w:numPr>
                <w:ilvl w:val="0"/>
                <w:numId w:val="4"/>
              </w:numPr>
              <w:spacing w:after="120"/>
              <w:ind w:left="1224" w:hanging="425"/>
              <w:jc w:val="both"/>
              <w:rPr>
                <w:rFonts w:ascii="Arial Mäori" w:hAnsi="Arial Mäori" w:cs="Arial Mäori"/>
                <w:sz w:val="22"/>
              </w:rPr>
            </w:pPr>
            <w:r w:rsidRPr="00817938">
              <w:rPr>
                <w:rFonts w:ascii="Arial Mäori" w:hAnsi="Arial Mäori" w:cs="Arial Mäori"/>
                <w:sz w:val="22"/>
              </w:rPr>
              <w:t>To provide strategic direction, guidance, oversight and policy objectives for this Church’s Three Tikanga Youth Ministry.</w:t>
            </w:r>
          </w:p>
        </w:tc>
        <w:tc>
          <w:tcPr>
            <w:tcW w:w="1560" w:type="dxa"/>
          </w:tcPr>
          <w:p w:rsidR="00C22D0B" w:rsidRPr="00817938" w:rsidRDefault="009D08B5"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r w:rsidRPr="00817938">
              <w:rPr>
                <w:rFonts w:ascii="Arial Mäori" w:hAnsi="Arial Mäori" w:cs="Arial Mäori"/>
                <w:i/>
                <w:spacing w:val="-3"/>
                <w:sz w:val="18"/>
                <w:szCs w:val="18"/>
                <w:lang w:val="en-US"/>
              </w:rPr>
              <w:t>2014</w:t>
            </w:r>
          </w:p>
        </w:tc>
      </w:tr>
      <w:tr w:rsidR="00817938" w:rsidRPr="00817938" w:rsidTr="00094D21">
        <w:tc>
          <w:tcPr>
            <w:tcW w:w="665" w:type="dxa"/>
          </w:tcPr>
          <w:p w:rsidR="00C22D0B" w:rsidRPr="00817938" w:rsidRDefault="00C22D0B" w:rsidP="00094D21">
            <w:pPr>
              <w:spacing w:after="120"/>
              <w:rPr>
                <w:rFonts w:ascii="Arial Mäori" w:hAnsi="Arial Mäori" w:cs="Arial Mäori"/>
                <w:spacing w:val="-3"/>
                <w:sz w:val="22"/>
                <w:lang w:val="en-US"/>
              </w:rPr>
            </w:pPr>
          </w:p>
        </w:tc>
        <w:tc>
          <w:tcPr>
            <w:tcW w:w="6967" w:type="dxa"/>
          </w:tcPr>
          <w:p w:rsidR="00C22D0B" w:rsidRPr="00817938" w:rsidRDefault="009D08B5" w:rsidP="00C22D0B">
            <w:pPr>
              <w:pStyle w:val="ListParagraph"/>
              <w:numPr>
                <w:ilvl w:val="0"/>
                <w:numId w:val="4"/>
              </w:numPr>
              <w:spacing w:after="120"/>
              <w:ind w:left="1224" w:hanging="425"/>
              <w:jc w:val="both"/>
              <w:rPr>
                <w:rFonts w:ascii="Arial Mäori" w:hAnsi="Arial Mäori" w:cs="Arial Mäori"/>
                <w:sz w:val="22"/>
              </w:rPr>
            </w:pPr>
            <w:r w:rsidRPr="00817938">
              <w:rPr>
                <w:rFonts w:ascii="Arial Mäori" w:hAnsi="Arial Mäori" w:cs="Arial Mäori"/>
                <w:sz w:val="22"/>
              </w:rPr>
              <w:t>To accompany, support and promote any initiatives of the Commissioner that the Commission believes will assist in fulfilling those strategic plans and policy objectives.</w:t>
            </w:r>
          </w:p>
        </w:tc>
        <w:tc>
          <w:tcPr>
            <w:tcW w:w="1560" w:type="dxa"/>
          </w:tcPr>
          <w:p w:rsidR="00C22D0B" w:rsidRPr="00817938" w:rsidRDefault="009D08B5"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r w:rsidRPr="00817938">
              <w:rPr>
                <w:rFonts w:ascii="Arial Mäori" w:hAnsi="Arial Mäori" w:cs="Arial Mäori"/>
                <w:i/>
                <w:spacing w:val="-3"/>
                <w:sz w:val="18"/>
                <w:szCs w:val="18"/>
                <w:lang w:val="en-US"/>
              </w:rPr>
              <w:t>2014</w:t>
            </w: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Default="00C22D0B" w:rsidP="00A04491">
            <w:pPr>
              <w:pStyle w:val="ListParagraph"/>
              <w:numPr>
                <w:ilvl w:val="0"/>
                <w:numId w:val="4"/>
              </w:numPr>
              <w:spacing w:after="120"/>
              <w:ind w:left="1224" w:hanging="425"/>
              <w:jc w:val="both"/>
              <w:rPr>
                <w:rFonts w:ascii="Arial Mäori" w:hAnsi="Arial Mäori" w:cs="Arial Mäori"/>
                <w:sz w:val="22"/>
              </w:rPr>
            </w:pPr>
            <w:r>
              <w:rPr>
                <w:rFonts w:ascii="Arial Mäori" w:hAnsi="Arial Mäori" w:cs="Arial Mäori"/>
                <w:sz w:val="22"/>
              </w:rPr>
              <w:t>To receive regular reports on the Commissioner’s activities including details of the Commissioner’s consultations with each Tikanga</w:t>
            </w:r>
            <w:r w:rsidR="00A04491">
              <w:rPr>
                <w:rFonts w:ascii="Arial Mäori" w:hAnsi="Arial Mäori" w:cs="Arial Mäori"/>
                <w:sz w:val="22"/>
              </w:rPr>
              <w:t>;</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spacing w:val="-3"/>
                <w:sz w:val="22"/>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Default="00C22D0B" w:rsidP="00C22D0B">
            <w:pPr>
              <w:pStyle w:val="ListParagraph"/>
              <w:numPr>
                <w:ilvl w:val="0"/>
                <w:numId w:val="4"/>
              </w:numPr>
              <w:spacing w:after="120"/>
              <w:ind w:left="1224" w:hanging="425"/>
              <w:jc w:val="both"/>
              <w:rPr>
                <w:rFonts w:ascii="Arial Mäori" w:hAnsi="Arial Mäori" w:cs="Arial Mäori"/>
                <w:sz w:val="22"/>
              </w:rPr>
            </w:pPr>
            <w:r>
              <w:rPr>
                <w:rFonts w:ascii="Arial Mäori" w:hAnsi="Arial Mäori" w:cs="Arial Mäori"/>
                <w:sz w:val="22"/>
              </w:rPr>
              <w:t>To make appropriate arrangements for the financial support of the Commissioner, through funding applications and other initiatives;</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spacing w:val="-3"/>
                <w:sz w:val="22"/>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Default="00C22D0B" w:rsidP="00C22D0B">
            <w:pPr>
              <w:pStyle w:val="ListParagraph"/>
              <w:numPr>
                <w:ilvl w:val="0"/>
                <w:numId w:val="4"/>
              </w:numPr>
              <w:spacing w:after="120"/>
              <w:ind w:left="1224" w:hanging="425"/>
              <w:jc w:val="both"/>
              <w:rPr>
                <w:rFonts w:ascii="Arial Mäori" w:hAnsi="Arial Mäori" w:cs="Arial Mäori"/>
                <w:sz w:val="22"/>
              </w:rPr>
            </w:pPr>
            <w:r>
              <w:rPr>
                <w:rFonts w:ascii="Arial Mäori" w:hAnsi="Arial Mäori" w:cs="Arial Mäori"/>
                <w:sz w:val="22"/>
              </w:rPr>
              <w:t xml:space="preserve">To advise the Standing Committee of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w:t>
            </w:r>
            <w:r>
              <w:rPr>
                <w:rFonts w:ascii="Arial" w:hAnsi="Arial" w:cs="Arial"/>
                <w:sz w:val="22"/>
              </w:rPr>
              <w:t>ī</w:t>
            </w:r>
            <w:r>
              <w:rPr>
                <w:rFonts w:ascii="Arial Mäori" w:hAnsi="Arial Mäori" w:cs="Arial Mäori"/>
                <w:sz w:val="22"/>
              </w:rPr>
              <w:t>nota</w:t>
            </w:r>
            <w:proofErr w:type="spellEnd"/>
            <w:r>
              <w:rPr>
                <w:rFonts w:ascii="Arial Mäori" w:hAnsi="Arial Mäori" w:cs="Arial Mäori"/>
                <w:sz w:val="22"/>
              </w:rPr>
              <w:t xml:space="preserve"> </w:t>
            </w:r>
            <w:proofErr w:type="spellStart"/>
            <w:r>
              <w:rPr>
                <w:rFonts w:ascii="Arial Mäori" w:hAnsi="Arial Mäori" w:cs="Arial Mäori"/>
                <w:sz w:val="22"/>
              </w:rPr>
              <w:t>Wh</w:t>
            </w:r>
            <w:r>
              <w:rPr>
                <w:rFonts w:ascii="Arial" w:hAnsi="Arial" w:cs="Arial"/>
                <w:sz w:val="22"/>
              </w:rPr>
              <w:t>ā</w:t>
            </w:r>
            <w:r>
              <w:rPr>
                <w:rFonts w:ascii="Arial Mäori" w:hAnsi="Arial Mäori" w:cs="Arial Mäori"/>
                <w:sz w:val="22"/>
              </w:rPr>
              <w:t>nui</w:t>
            </w:r>
            <w:proofErr w:type="spellEnd"/>
            <w:r>
              <w:rPr>
                <w:rFonts w:ascii="Arial Mäori" w:hAnsi="Arial Mäori" w:cs="Arial Mäori"/>
                <w:sz w:val="22"/>
              </w:rPr>
              <w:t xml:space="preserve"> on the Commissioner’s performance objectives and the extent to which these objectives have been achieved; and</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spacing w:val="-3"/>
                <w:sz w:val="22"/>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Default="00C22D0B" w:rsidP="00C22D0B">
            <w:pPr>
              <w:pStyle w:val="ListParagraph"/>
              <w:numPr>
                <w:ilvl w:val="0"/>
                <w:numId w:val="4"/>
              </w:numPr>
              <w:spacing w:after="120"/>
              <w:ind w:left="1224" w:hanging="425"/>
              <w:jc w:val="both"/>
              <w:rPr>
                <w:rFonts w:ascii="Arial Mäori" w:hAnsi="Arial Mäori" w:cs="Arial Mäori"/>
                <w:sz w:val="22"/>
              </w:rPr>
            </w:pPr>
            <w:r>
              <w:rPr>
                <w:rFonts w:ascii="Arial Mäori" w:hAnsi="Arial Mäori" w:cs="Arial Mäori"/>
                <w:sz w:val="22"/>
              </w:rPr>
              <w:t>To provide pastoral support for the Commissioner.</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spacing w:val="-3"/>
                <w:sz w:val="22"/>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Default="00C22D0B" w:rsidP="00C22D0B">
            <w:pPr>
              <w:pStyle w:val="ListParagraph"/>
              <w:numPr>
                <w:ilvl w:val="0"/>
                <w:numId w:val="1"/>
              </w:numPr>
              <w:spacing w:after="120"/>
              <w:ind w:hanging="720"/>
              <w:jc w:val="both"/>
              <w:rPr>
                <w:rFonts w:ascii="Arial Mäori" w:hAnsi="Arial Mäori" w:cs="Arial Mäori"/>
                <w:sz w:val="22"/>
              </w:rPr>
            </w:pPr>
            <w:r>
              <w:rPr>
                <w:rFonts w:ascii="Arial Mäori" w:hAnsi="Arial Mäori" w:cs="Arial Mäori"/>
                <w:sz w:val="22"/>
              </w:rPr>
              <w:t>The Commission is responsible to the General Synod</w:t>
            </w:r>
            <w:r w:rsidR="00A04491">
              <w:rPr>
                <w:rFonts w:ascii="Arial Mäori" w:hAnsi="Arial Mäori" w:cs="Arial Mäori"/>
                <w:sz w:val="22"/>
              </w:rPr>
              <w:t xml:space="preserve"> </w:t>
            </w:r>
            <w:r>
              <w:rPr>
                <w:rFonts w:ascii="Arial Mäori" w:hAnsi="Arial Mäori" w:cs="Arial Mäori"/>
                <w:sz w:val="22"/>
              </w:rPr>
              <w:t>/</w:t>
            </w:r>
            <w:r w:rsidR="00A04491">
              <w:rPr>
                <w:rFonts w:ascii="Arial Mäori" w:hAnsi="Arial Mäori" w:cs="Arial Mäori"/>
                <w:sz w:val="22"/>
              </w:rPr>
              <w:t xml:space="preserve">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w:t>
            </w:r>
            <w:r>
              <w:rPr>
                <w:rFonts w:ascii="Arial" w:hAnsi="Arial" w:cs="Arial"/>
                <w:sz w:val="22"/>
              </w:rPr>
              <w:t>ī</w:t>
            </w:r>
            <w:r>
              <w:rPr>
                <w:rFonts w:ascii="Arial Mäori" w:hAnsi="Arial Mäori" w:cs="Arial Mäori"/>
                <w:sz w:val="22"/>
              </w:rPr>
              <w:t>nota</w:t>
            </w:r>
            <w:proofErr w:type="spellEnd"/>
            <w:r>
              <w:rPr>
                <w:rFonts w:ascii="Arial Mäori" w:hAnsi="Arial Mäori" w:cs="Arial Mäori"/>
                <w:sz w:val="22"/>
              </w:rPr>
              <w:t xml:space="preserve"> </w:t>
            </w:r>
            <w:proofErr w:type="spellStart"/>
            <w:r>
              <w:rPr>
                <w:rFonts w:ascii="Arial Mäori" w:hAnsi="Arial Mäori" w:cs="Arial Mäori"/>
                <w:sz w:val="22"/>
              </w:rPr>
              <w:t>Wh</w:t>
            </w:r>
            <w:r>
              <w:rPr>
                <w:rFonts w:ascii="Arial" w:hAnsi="Arial" w:cs="Arial"/>
                <w:sz w:val="22"/>
              </w:rPr>
              <w:t>ā</w:t>
            </w:r>
            <w:r>
              <w:rPr>
                <w:rFonts w:ascii="Arial Mäori" w:hAnsi="Arial Mäori" w:cs="Arial Mäori"/>
                <w:sz w:val="22"/>
              </w:rPr>
              <w:t>nui</w:t>
            </w:r>
            <w:proofErr w:type="spellEnd"/>
            <w:r>
              <w:rPr>
                <w:rFonts w:ascii="Arial Mäori" w:hAnsi="Arial Mäori" w:cs="Arial Mäori"/>
                <w:sz w:val="22"/>
              </w:rPr>
              <w:t>, through the Standing Committee.  It will undertake an annual review of its objectives, strategies and achievements and will report annually to Standing Committee as well as to the Tikanga Youth Synod.</w:t>
            </w:r>
          </w:p>
          <w:p w:rsidR="00C22D0B" w:rsidRDefault="00C22D0B" w:rsidP="00C22D0B">
            <w:pPr>
              <w:pStyle w:val="ListParagraph"/>
              <w:spacing w:after="120"/>
              <w:jc w:val="both"/>
              <w:rPr>
                <w:rFonts w:ascii="Arial Mäori" w:hAnsi="Arial Mäori" w:cs="Arial Mäori"/>
                <w:sz w:val="22"/>
              </w:rPr>
            </w:pP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spacing w:val="-3"/>
                <w:sz w:val="22"/>
                <w:lang w:val="en-US"/>
              </w:rPr>
            </w:pPr>
            <w:r>
              <w:rPr>
                <w:rFonts w:ascii="Arial Mäori" w:hAnsi="Arial Mäori" w:cs="Arial Mäori"/>
                <w:i/>
                <w:spacing w:val="-3"/>
                <w:sz w:val="18"/>
                <w:szCs w:val="18"/>
                <w:lang w:val="en-US"/>
              </w:rPr>
              <w:t>Responsibilities</w:t>
            </w: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Pr="006761EE" w:rsidRDefault="00C22D0B" w:rsidP="00094D21">
            <w:pPr>
              <w:pStyle w:val="ListParagraph"/>
              <w:spacing w:after="120"/>
              <w:ind w:left="0"/>
              <w:jc w:val="both"/>
              <w:rPr>
                <w:rFonts w:ascii="Arial Mäori" w:hAnsi="Arial Mäori" w:cs="Arial Mäori"/>
                <w:b/>
                <w:sz w:val="22"/>
              </w:rPr>
            </w:pPr>
            <w:r>
              <w:rPr>
                <w:rFonts w:ascii="Arial Mäori" w:hAnsi="Arial Mäori" w:cs="Arial Mäori"/>
                <w:b/>
                <w:sz w:val="22"/>
              </w:rPr>
              <w:t>PART 2:  Constitution of the Commission</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Pr="004925C7" w:rsidRDefault="00C22D0B" w:rsidP="00C22D0B">
            <w:pPr>
              <w:pStyle w:val="ListParagraph"/>
              <w:numPr>
                <w:ilvl w:val="0"/>
                <w:numId w:val="1"/>
              </w:numPr>
              <w:tabs>
                <w:tab w:val="left" w:pos="657"/>
              </w:tabs>
              <w:spacing w:after="120"/>
              <w:ind w:hanging="720"/>
              <w:rPr>
                <w:rFonts w:ascii="Arial Mäori" w:hAnsi="Arial Mäori" w:cs="Arial Mäori"/>
                <w:sz w:val="22"/>
              </w:rPr>
            </w:pPr>
            <w:r>
              <w:rPr>
                <w:rFonts w:ascii="Arial" w:hAnsi="Arial" w:cs="Arial"/>
                <w:sz w:val="22"/>
                <w:szCs w:val="22"/>
              </w:rPr>
              <w:t>The Commission consists of:</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Pr="004925C7" w:rsidRDefault="00C22D0B" w:rsidP="00C22D0B">
            <w:pPr>
              <w:pStyle w:val="ListParagraph"/>
              <w:numPr>
                <w:ilvl w:val="0"/>
                <w:numId w:val="5"/>
              </w:numPr>
              <w:spacing w:after="120"/>
              <w:ind w:left="1224" w:hanging="567"/>
              <w:jc w:val="both"/>
              <w:rPr>
                <w:rFonts w:ascii="Arial Mäori" w:hAnsi="Arial Mäori" w:cs="Arial Mäori"/>
                <w:sz w:val="22"/>
              </w:rPr>
            </w:pPr>
            <w:r w:rsidRPr="004925C7">
              <w:rPr>
                <w:rFonts w:ascii="Arial Mäori" w:hAnsi="Arial Mäori" w:cs="Arial Mäori"/>
                <w:sz w:val="22"/>
              </w:rPr>
              <w:t xml:space="preserve">Six members elected by the Three Tikanga Youth Synod, comprising two representatives from each Tikanga; the representatives to be approved by the appropriate body of each </w:t>
            </w:r>
            <w:proofErr w:type="spellStart"/>
            <w:r w:rsidRPr="004925C7">
              <w:rPr>
                <w:rFonts w:ascii="Arial Mäori" w:hAnsi="Arial Mäori" w:cs="Arial Mäori"/>
                <w:sz w:val="22"/>
              </w:rPr>
              <w:t>Tikanga</w:t>
            </w:r>
            <w:proofErr w:type="spellEnd"/>
            <w:r w:rsidRPr="004925C7">
              <w:rPr>
                <w:rFonts w:ascii="Arial Mäori" w:hAnsi="Arial Mäori" w:cs="Arial Mäori"/>
                <w:sz w:val="22"/>
              </w:rPr>
              <w:t xml:space="preserve"> (Te </w:t>
            </w:r>
            <w:proofErr w:type="spellStart"/>
            <w:r w:rsidRPr="004925C7">
              <w:rPr>
                <w:rFonts w:ascii="Arial Mäori" w:hAnsi="Arial Mäori" w:cs="Arial Mäori"/>
                <w:sz w:val="22"/>
              </w:rPr>
              <w:t>Runanga</w:t>
            </w:r>
            <w:proofErr w:type="spellEnd"/>
            <w:r w:rsidRPr="004925C7">
              <w:rPr>
                <w:rFonts w:ascii="Arial Mäori" w:hAnsi="Arial Mäori" w:cs="Arial Mäori"/>
                <w:sz w:val="22"/>
              </w:rPr>
              <w:t xml:space="preserve"> </w:t>
            </w:r>
            <w:proofErr w:type="spellStart"/>
            <w:r w:rsidRPr="004925C7">
              <w:rPr>
                <w:rFonts w:ascii="Arial Mäori" w:hAnsi="Arial Mäori" w:cs="Arial Mäori"/>
                <w:sz w:val="22"/>
              </w:rPr>
              <w:t>Whaiti</w:t>
            </w:r>
            <w:proofErr w:type="spellEnd"/>
            <w:r w:rsidRPr="004925C7">
              <w:rPr>
                <w:rFonts w:ascii="Arial Mäori" w:hAnsi="Arial Mäori" w:cs="Arial Mäori"/>
                <w:sz w:val="22"/>
              </w:rPr>
              <w:t>, the Inter-Diocesan Conference Co-ordinating Group, and the Diocesan Youth Advisory Committee of Polynesia);</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r>
              <w:rPr>
                <w:rFonts w:ascii="Arial Mäori" w:hAnsi="Arial Mäori" w:cs="Arial Mäori"/>
                <w:i/>
                <w:spacing w:val="-3"/>
                <w:sz w:val="18"/>
                <w:szCs w:val="18"/>
                <w:lang w:val="en-US"/>
              </w:rPr>
              <w:t>Membership</w:t>
            </w: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Default="00C22D0B" w:rsidP="00C22D0B">
            <w:pPr>
              <w:pStyle w:val="ListParagraph"/>
              <w:numPr>
                <w:ilvl w:val="0"/>
                <w:numId w:val="5"/>
              </w:numPr>
              <w:spacing w:after="120"/>
              <w:ind w:left="1224" w:hanging="567"/>
              <w:jc w:val="both"/>
              <w:rPr>
                <w:rFonts w:ascii="Arial Mäori" w:hAnsi="Arial Mäori" w:cs="Arial Mäori"/>
                <w:sz w:val="22"/>
              </w:rPr>
            </w:pPr>
            <w:r>
              <w:rPr>
                <w:rFonts w:ascii="Arial Mäori" w:hAnsi="Arial Mäori" w:cs="Arial Mäori"/>
                <w:sz w:val="22"/>
              </w:rPr>
              <w:t>One representative nominated by and from the Standing Committee;</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Default="00C22D0B" w:rsidP="00C22D0B">
            <w:pPr>
              <w:pStyle w:val="ListParagraph"/>
              <w:numPr>
                <w:ilvl w:val="0"/>
                <w:numId w:val="5"/>
              </w:numPr>
              <w:spacing w:after="120"/>
              <w:ind w:left="1224" w:hanging="567"/>
              <w:jc w:val="both"/>
              <w:rPr>
                <w:rFonts w:ascii="Arial Mäori" w:hAnsi="Arial Mäori" w:cs="Arial Mäori"/>
                <w:sz w:val="22"/>
              </w:rPr>
            </w:pPr>
            <w:r>
              <w:rPr>
                <w:rFonts w:ascii="Arial Mäori" w:hAnsi="Arial Mäori" w:cs="Arial Mäori"/>
                <w:sz w:val="22"/>
              </w:rPr>
              <w:t xml:space="preserve">A Bishop / </w:t>
            </w:r>
            <w:proofErr w:type="spellStart"/>
            <w:r>
              <w:rPr>
                <w:rFonts w:ascii="Arial Mäori" w:hAnsi="Arial Mäori" w:cs="Arial Mäori"/>
                <w:sz w:val="22"/>
              </w:rPr>
              <w:t>P</w:t>
            </w:r>
            <w:r>
              <w:rPr>
                <w:rFonts w:ascii="Arial" w:hAnsi="Arial" w:cs="Arial"/>
                <w:sz w:val="22"/>
              </w:rPr>
              <w:t>ī</w:t>
            </w:r>
            <w:r>
              <w:rPr>
                <w:rFonts w:ascii="Arial Mäori" w:hAnsi="Arial Mäori" w:cs="Arial Mäori"/>
                <w:sz w:val="22"/>
              </w:rPr>
              <w:t>hopa</w:t>
            </w:r>
            <w:proofErr w:type="spellEnd"/>
            <w:r>
              <w:rPr>
                <w:rFonts w:ascii="Arial Mäori" w:hAnsi="Arial Mäori" w:cs="Arial Mäori"/>
                <w:sz w:val="22"/>
              </w:rPr>
              <w:t xml:space="preserve">, appointed by the House of Bishops / </w:t>
            </w:r>
            <w:proofErr w:type="spellStart"/>
            <w:r>
              <w:rPr>
                <w:rFonts w:ascii="Arial Mäori" w:hAnsi="Arial Mäori" w:cs="Arial Mäori"/>
                <w:sz w:val="22"/>
              </w:rPr>
              <w:t>nga</w:t>
            </w:r>
            <w:proofErr w:type="spellEnd"/>
            <w:r>
              <w:rPr>
                <w:rFonts w:ascii="Arial Mäori" w:hAnsi="Arial Mäori" w:cs="Arial Mäori"/>
                <w:sz w:val="22"/>
              </w:rPr>
              <w:t xml:space="preserve"> </w:t>
            </w:r>
            <w:proofErr w:type="spellStart"/>
            <w:r>
              <w:rPr>
                <w:rFonts w:ascii="Arial Mäori" w:hAnsi="Arial Mäori" w:cs="Arial Mäori"/>
                <w:sz w:val="22"/>
              </w:rPr>
              <w:t>P</w:t>
            </w:r>
            <w:r>
              <w:rPr>
                <w:rFonts w:ascii="Arial" w:hAnsi="Arial" w:cs="Arial"/>
                <w:sz w:val="22"/>
              </w:rPr>
              <w:t>ī</w:t>
            </w:r>
            <w:r>
              <w:rPr>
                <w:rFonts w:ascii="Arial Mäori" w:hAnsi="Arial Mäori" w:cs="Arial Mäori"/>
                <w:sz w:val="22"/>
              </w:rPr>
              <w:t>hopa</w:t>
            </w:r>
            <w:proofErr w:type="spellEnd"/>
            <w:r>
              <w:rPr>
                <w:rFonts w:ascii="Arial Mäori" w:hAnsi="Arial Mäori" w:cs="Arial Mäori"/>
                <w:sz w:val="22"/>
              </w:rPr>
              <w:t>;</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p>
        </w:tc>
      </w:tr>
    </w:tbl>
    <w:p w:rsidR="00C22D0B" w:rsidRDefault="00C22D0B" w:rsidP="00C22D0B">
      <w:pPr>
        <w:rPr>
          <w:rFonts w:ascii="Arial Mäori" w:hAnsi="Arial Mäori" w:cs="Arial Mäori"/>
        </w:rPr>
        <w:sectPr w:rsidR="00C22D0B">
          <w:headerReference w:type="default" r:id="rId10"/>
          <w:footerReference w:type="default" r:id="rId11"/>
          <w:pgSz w:w="11906" w:h="16838" w:code="9"/>
          <w:pgMar w:top="1134" w:right="1558" w:bottom="1134" w:left="1797" w:header="720" w:footer="720" w:gutter="0"/>
          <w:cols w:space="720"/>
        </w:sectPr>
      </w:pPr>
    </w:p>
    <w:tbl>
      <w:tblPr>
        <w:tblW w:w="9192" w:type="dxa"/>
        <w:tblInd w:w="-12" w:type="dxa"/>
        <w:tblLayout w:type="fixed"/>
        <w:tblLook w:val="0000" w:firstRow="0" w:lastRow="0" w:firstColumn="0" w:lastColumn="0" w:noHBand="0" w:noVBand="0"/>
      </w:tblPr>
      <w:tblGrid>
        <w:gridCol w:w="665"/>
        <w:gridCol w:w="6967"/>
        <w:gridCol w:w="1560"/>
      </w:tblGrid>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Default="00C22D0B" w:rsidP="00C22D0B">
            <w:pPr>
              <w:pStyle w:val="ListParagraph"/>
              <w:numPr>
                <w:ilvl w:val="0"/>
                <w:numId w:val="5"/>
              </w:numPr>
              <w:spacing w:after="120"/>
              <w:ind w:left="1224" w:hanging="567"/>
              <w:jc w:val="both"/>
              <w:rPr>
                <w:rFonts w:ascii="Arial Mäori" w:hAnsi="Arial Mäori" w:cs="Arial Mäori"/>
                <w:sz w:val="22"/>
              </w:rPr>
            </w:pPr>
            <w:r>
              <w:rPr>
                <w:rFonts w:ascii="Arial Mäori" w:hAnsi="Arial Mäori" w:cs="Arial Mäori"/>
                <w:sz w:val="22"/>
              </w:rPr>
              <w:t>The Youth Co-ordinator from each Tikanga;</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Default="00C22D0B" w:rsidP="00C22D0B">
            <w:pPr>
              <w:pStyle w:val="ListParagraph"/>
              <w:numPr>
                <w:ilvl w:val="0"/>
                <w:numId w:val="5"/>
              </w:numPr>
              <w:spacing w:after="120"/>
              <w:ind w:left="1224" w:hanging="567"/>
              <w:jc w:val="both"/>
              <w:rPr>
                <w:rFonts w:ascii="Arial Mäori" w:hAnsi="Arial Mäori" w:cs="Arial Mäori"/>
                <w:sz w:val="22"/>
              </w:rPr>
            </w:pPr>
            <w:r>
              <w:rPr>
                <w:rFonts w:ascii="Arial Mäori" w:hAnsi="Arial Mäori" w:cs="Arial Mäori"/>
                <w:sz w:val="22"/>
              </w:rPr>
              <w:t>The General Secretary; and</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Default="00C22D0B" w:rsidP="00C22D0B">
            <w:pPr>
              <w:pStyle w:val="ListParagraph"/>
              <w:numPr>
                <w:ilvl w:val="0"/>
                <w:numId w:val="5"/>
              </w:numPr>
              <w:spacing w:after="120"/>
              <w:ind w:left="1224" w:hanging="567"/>
              <w:jc w:val="both"/>
              <w:rPr>
                <w:rFonts w:ascii="Arial Mäori" w:hAnsi="Arial Mäori" w:cs="Arial Mäori"/>
                <w:sz w:val="22"/>
              </w:rPr>
            </w:pPr>
            <w:r>
              <w:rPr>
                <w:rFonts w:ascii="Arial Mäori" w:hAnsi="Arial Mäori" w:cs="Arial Mäori"/>
                <w:sz w:val="22"/>
              </w:rPr>
              <w:t>The Three Tikanga Youth Commissioner, as advisor to the Commission.</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Pr="004925C7" w:rsidRDefault="00C22D0B" w:rsidP="00C22D0B">
            <w:pPr>
              <w:pStyle w:val="ListParagraph"/>
              <w:numPr>
                <w:ilvl w:val="0"/>
                <w:numId w:val="1"/>
              </w:numPr>
              <w:spacing w:after="120"/>
              <w:ind w:hanging="720"/>
              <w:jc w:val="both"/>
              <w:rPr>
                <w:rFonts w:ascii="Arial Mäori" w:hAnsi="Arial Mäori" w:cs="Arial Mäori"/>
                <w:sz w:val="22"/>
              </w:rPr>
            </w:pPr>
            <w:r w:rsidRPr="004925C7">
              <w:rPr>
                <w:rFonts w:ascii="Arial Mäori" w:hAnsi="Arial Mäori" w:cs="Arial Mäori"/>
                <w:sz w:val="22"/>
              </w:rPr>
              <w:t>The Commission appoints one of its members to be the Chair of the Commission, with responsibilities for convening and chairing meetings, and setting the agenda and presenting the Commission’s reports.</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r>
              <w:rPr>
                <w:rFonts w:ascii="Arial Mäori" w:hAnsi="Arial Mäori" w:cs="Arial Mäori"/>
                <w:i/>
                <w:spacing w:val="-3"/>
                <w:sz w:val="18"/>
                <w:szCs w:val="18"/>
                <w:lang w:val="en-US"/>
              </w:rPr>
              <w:t>Appointment</w:t>
            </w: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Default="00C22D0B" w:rsidP="00C22D0B">
            <w:pPr>
              <w:pStyle w:val="ListParagraph"/>
              <w:numPr>
                <w:ilvl w:val="0"/>
                <w:numId w:val="1"/>
              </w:numPr>
              <w:spacing w:after="120"/>
              <w:ind w:left="657" w:hanging="657"/>
              <w:jc w:val="both"/>
              <w:rPr>
                <w:rFonts w:ascii="Arial Mäori" w:hAnsi="Arial Mäori" w:cs="Arial Mäori"/>
                <w:sz w:val="22"/>
              </w:rPr>
            </w:pPr>
            <w:r>
              <w:rPr>
                <w:rFonts w:ascii="Arial Mäori" w:hAnsi="Arial Mäori" w:cs="Arial Mäori"/>
                <w:sz w:val="22"/>
              </w:rPr>
              <w:t>The Commission meets at least twice every year.</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Default="00C22D0B" w:rsidP="00C22D0B">
            <w:pPr>
              <w:pStyle w:val="ListParagraph"/>
              <w:numPr>
                <w:ilvl w:val="0"/>
                <w:numId w:val="1"/>
              </w:numPr>
              <w:spacing w:after="120"/>
              <w:ind w:left="657" w:hanging="657"/>
              <w:jc w:val="both"/>
              <w:rPr>
                <w:rFonts w:ascii="Arial Mäori" w:hAnsi="Arial Mäori" w:cs="Arial Mäori"/>
                <w:sz w:val="22"/>
              </w:rPr>
            </w:pPr>
            <w:r>
              <w:rPr>
                <w:rFonts w:ascii="Arial Mäori" w:hAnsi="Arial Mäori" w:cs="Arial Mäori"/>
                <w:sz w:val="22"/>
              </w:rPr>
              <w:t>The Commission may meet by teleconference or other appropriate means of communication and can establish its own procedures.</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Default="00C22D0B" w:rsidP="00C22D0B">
            <w:pPr>
              <w:pStyle w:val="ListParagraph"/>
              <w:numPr>
                <w:ilvl w:val="0"/>
                <w:numId w:val="1"/>
              </w:numPr>
              <w:spacing w:after="120"/>
              <w:ind w:left="657" w:hanging="657"/>
              <w:jc w:val="both"/>
              <w:rPr>
                <w:rFonts w:ascii="Arial Mäori" w:hAnsi="Arial Mäori" w:cs="Arial Mäori"/>
                <w:sz w:val="22"/>
              </w:rPr>
            </w:pPr>
            <w:r>
              <w:rPr>
                <w:rFonts w:ascii="Arial Mäori" w:hAnsi="Arial Mäori" w:cs="Arial Mäori"/>
                <w:sz w:val="22"/>
              </w:rPr>
              <w:t>The Commission will appoint an Advisory Committee to advise and work with the Three Tikanga Youth Commissioner in fulfilling their objectives, and may appoint further sub-committees for specified purposes and may co-opt persons with specific skills to serve on such sub-committees.</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Default="00C22D0B" w:rsidP="00094D21">
            <w:pPr>
              <w:pStyle w:val="ListParagraph"/>
              <w:spacing w:after="120"/>
              <w:ind w:left="657"/>
              <w:jc w:val="both"/>
              <w:rPr>
                <w:rFonts w:ascii="Arial Mäori" w:hAnsi="Arial Mäori" w:cs="Arial Mäori"/>
                <w:sz w:val="22"/>
              </w:rPr>
            </w:pP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Pr="007931F5" w:rsidRDefault="00C22D0B" w:rsidP="00094D21">
            <w:pPr>
              <w:pStyle w:val="ListParagraph"/>
              <w:spacing w:after="120"/>
              <w:ind w:left="657" w:hanging="657"/>
              <w:jc w:val="both"/>
              <w:rPr>
                <w:rFonts w:ascii="Arial Mäori" w:hAnsi="Arial Mäori" w:cs="Arial Mäori"/>
                <w:b/>
                <w:sz w:val="22"/>
              </w:rPr>
            </w:pPr>
            <w:r>
              <w:rPr>
                <w:rFonts w:ascii="Arial Mäori" w:hAnsi="Arial Mäori" w:cs="Arial Mäori"/>
                <w:b/>
                <w:sz w:val="22"/>
              </w:rPr>
              <w:t>PART 3:  Three Tikanga Youth Commissioner</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Default="00C22D0B" w:rsidP="00C22D0B">
            <w:pPr>
              <w:pStyle w:val="ListParagraph"/>
              <w:numPr>
                <w:ilvl w:val="0"/>
                <w:numId w:val="1"/>
              </w:numPr>
              <w:spacing w:after="240"/>
              <w:ind w:hanging="720"/>
              <w:jc w:val="both"/>
              <w:rPr>
                <w:rFonts w:ascii="Arial Mäori" w:hAnsi="Arial Mäori" w:cs="Arial Mäori"/>
                <w:sz w:val="22"/>
              </w:rPr>
            </w:pPr>
            <w:r>
              <w:rPr>
                <w:rFonts w:ascii="Arial Mäori" w:hAnsi="Arial Mäori" w:cs="Arial Mäori"/>
                <w:sz w:val="22"/>
              </w:rPr>
              <w:t>Working to fulfil the vision for Three Tikanga Youth Ministry, the Three Tikanga Youth Commissioner will be:</w:t>
            </w:r>
          </w:p>
          <w:p w:rsidR="00C22D0B" w:rsidRDefault="00C22D0B" w:rsidP="00A04491">
            <w:pPr>
              <w:pStyle w:val="ListParagraph"/>
              <w:numPr>
                <w:ilvl w:val="0"/>
                <w:numId w:val="2"/>
              </w:numPr>
              <w:spacing w:after="120"/>
              <w:ind w:left="1434" w:hanging="357"/>
              <w:jc w:val="both"/>
              <w:rPr>
                <w:rFonts w:ascii="Arial Mäori" w:hAnsi="Arial Mäori" w:cs="Arial Mäori"/>
                <w:sz w:val="22"/>
              </w:rPr>
            </w:pPr>
            <w:r>
              <w:rPr>
                <w:rFonts w:ascii="Arial Mäori" w:hAnsi="Arial Mäori" w:cs="Arial Mäori"/>
                <w:sz w:val="22"/>
              </w:rPr>
              <w:t>An instrument of communication and support</w:t>
            </w:r>
          </w:p>
          <w:p w:rsidR="00C22D0B" w:rsidRDefault="00C22D0B" w:rsidP="00C22D0B">
            <w:pPr>
              <w:pStyle w:val="ListParagraph"/>
              <w:numPr>
                <w:ilvl w:val="0"/>
                <w:numId w:val="2"/>
              </w:numPr>
              <w:spacing w:after="120"/>
              <w:jc w:val="both"/>
              <w:rPr>
                <w:rFonts w:ascii="Arial Mäori" w:hAnsi="Arial Mäori" w:cs="Arial Mäori"/>
                <w:sz w:val="22"/>
              </w:rPr>
            </w:pPr>
            <w:r>
              <w:rPr>
                <w:rFonts w:ascii="Arial Mäori" w:hAnsi="Arial Mäori" w:cs="Arial Mäori"/>
                <w:sz w:val="22"/>
              </w:rPr>
              <w:t>A resource for events and education</w:t>
            </w:r>
          </w:p>
          <w:p w:rsidR="00C22D0B" w:rsidRPr="007931F5" w:rsidRDefault="00C22D0B" w:rsidP="00C22D0B">
            <w:pPr>
              <w:pStyle w:val="ListParagraph"/>
              <w:numPr>
                <w:ilvl w:val="0"/>
                <w:numId w:val="2"/>
              </w:numPr>
              <w:spacing w:after="120"/>
              <w:jc w:val="both"/>
              <w:rPr>
                <w:rFonts w:ascii="Arial Mäori" w:hAnsi="Arial Mäori" w:cs="Arial Mäori"/>
                <w:sz w:val="22"/>
              </w:rPr>
            </w:pPr>
            <w:r>
              <w:rPr>
                <w:rFonts w:ascii="Arial Mäori" w:hAnsi="Arial Mäori" w:cs="Arial Mäori"/>
                <w:sz w:val="22"/>
              </w:rPr>
              <w:t>An advocate for youth ministry throughout the Church</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Default="00C22D0B" w:rsidP="00C22D0B">
            <w:pPr>
              <w:pStyle w:val="ListParagraph"/>
              <w:numPr>
                <w:ilvl w:val="0"/>
                <w:numId w:val="1"/>
              </w:numPr>
              <w:spacing w:after="120"/>
              <w:ind w:hanging="720"/>
              <w:jc w:val="both"/>
              <w:rPr>
                <w:rFonts w:ascii="Arial Mäori" w:hAnsi="Arial Mäori" w:cs="Arial Mäori"/>
                <w:sz w:val="22"/>
              </w:rPr>
            </w:pPr>
            <w:r>
              <w:rPr>
                <w:rFonts w:ascii="Arial Mäori" w:hAnsi="Arial Mäori" w:cs="Arial Mäori"/>
                <w:sz w:val="22"/>
              </w:rPr>
              <w:t>The Commissioner may recommend to the Standing Committee, through the Commission, the employment of staff or with the Commission’s approval and within agreed budgets and goals contract staff to assist the Commissioner in the areas of administration, logistics, events and training.</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Default="00C22D0B" w:rsidP="00C22D0B">
            <w:pPr>
              <w:pStyle w:val="ListParagraph"/>
              <w:numPr>
                <w:ilvl w:val="0"/>
                <w:numId w:val="1"/>
              </w:numPr>
              <w:spacing w:after="120"/>
              <w:ind w:hanging="720"/>
              <w:jc w:val="both"/>
              <w:rPr>
                <w:rFonts w:ascii="Arial Mäori" w:hAnsi="Arial Mäori" w:cs="Arial Mäori"/>
                <w:sz w:val="22"/>
              </w:rPr>
            </w:pPr>
            <w:r>
              <w:rPr>
                <w:rFonts w:ascii="Arial Mäori" w:hAnsi="Arial Mäori" w:cs="Arial Mäori"/>
                <w:sz w:val="22"/>
              </w:rPr>
              <w:t>The Commissioner is responsible to the Tikanga Toru Youth Commission and reports to the General Synod/</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w:t>
            </w:r>
            <w:r>
              <w:rPr>
                <w:rFonts w:ascii="Arial" w:hAnsi="Arial" w:cs="Arial"/>
                <w:sz w:val="22"/>
              </w:rPr>
              <w:t>ī</w:t>
            </w:r>
            <w:r>
              <w:rPr>
                <w:rFonts w:ascii="Arial Mäori" w:hAnsi="Arial Mäori" w:cs="Arial Mäori"/>
                <w:sz w:val="22"/>
              </w:rPr>
              <w:t>nota</w:t>
            </w:r>
            <w:proofErr w:type="spellEnd"/>
            <w:r>
              <w:rPr>
                <w:rFonts w:ascii="Arial Mäori" w:hAnsi="Arial Mäori" w:cs="Arial Mäori"/>
                <w:sz w:val="22"/>
              </w:rPr>
              <w:t xml:space="preserve"> </w:t>
            </w:r>
            <w:proofErr w:type="spellStart"/>
            <w:r>
              <w:rPr>
                <w:rFonts w:ascii="Arial Mäori" w:hAnsi="Arial Mäori" w:cs="Arial Mäori"/>
                <w:sz w:val="22"/>
              </w:rPr>
              <w:t>Wh</w:t>
            </w:r>
            <w:r>
              <w:rPr>
                <w:rFonts w:ascii="Arial" w:hAnsi="Arial" w:cs="Arial"/>
                <w:sz w:val="22"/>
              </w:rPr>
              <w:t>ā</w:t>
            </w:r>
            <w:r>
              <w:rPr>
                <w:rFonts w:ascii="Arial Mäori" w:hAnsi="Arial Mäori" w:cs="Arial Mäori"/>
                <w:sz w:val="22"/>
              </w:rPr>
              <w:t>nui</w:t>
            </w:r>
            <w:proofErr w:type="spellEnd"/>
            <w:r>
              <w:rPr>
                <w:rFonts w:ascii="Arial Mäori" w:hAnsi="Arial Mäori" w:cs="Arial Mäori"/>
                <w:sz w:val="22"/>
              </w:rPr>
              <w:t xml:space="preserve"> through the Standing Committee against agreed policy objectives as provided in Clause 1(b).</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Default="00C22D0B" w:rsidP="00094D21">
            <w:pPr>
              <w:pStyle w:val="ListParagraph"/>
              <w:spacing w:after="120"/>
              <w:jc w:val="both"/>
              <w:rPr>
                <w:rFonts w:ascii="Arial Mäori" w:hAnsi="Arial Mäori" w:cs="Arial Mäori"/>
                <w:sz w:val="22"/>
              </w:rPr>
            </w:pP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Pr="00D15823" w:rsidRDefault="00C22D0B" w:rsidP="00094D21">
            <w:pPr>
              <w:pStyle w:val="ListParagraph"/>
              <w:spacing w:after="120"/>
              <w:ind w:left="0"/>
              <w:jc w:val="both"/>
              <w:rPr>
                <w:rFonts w:ascii="Arial Mäori" w:hAnsi="Arial Mäori" w:cs="Arial Mäori"/>
                <w:b/>
                <w:sz w:val="22"/>
              </w:rPr>
            </w:pPr>
            <w:r>
              <w:rPr>
                <w:rFonts w:ascii="Arial Mäori" w:hAnsi="Arial Mäori" w:cs="Arial Mäori"/>
                <w:b/>
                <w:sz w:val="22"/>
              </w:rPr>
              <w:t>PART 4:  Tikanga Youth Synod</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Pr="00D15823" w:rsidRDefault="00C22D0B" w:rsidP="00C22D0B">
            <w:pPr>
              <w:pStyle w:val="ListParagraph"/>
              <w:numPr>
                <w:ilvl w:val="0"/>
                <w:numId w:val="1"/>
              </w:numPr>
              <w:spacing w:after="120"/>
              <w:ind w:hanging="720"/>
              <w:jc w:val="both"/>
              <w:rPr>
                <w:rFonts w:ascii="Arial Mäori" w:hAnsi="Arial Mäori" w:cs="Arial Mäori"/>
                <w:sz w:val="22"/>
              </w:rPr>
            </w:pPr>
            <w:r>
              <w:rPr>
                <w:rFonts w:ascii="Arial Mäori" w:hAnsi="Arial Mäori" w:cs="Arial Mäori"/>
                <w:sz w:val="22"/>
              </w:rPr>
              <w:t xml:space="preserve">The Three Tikanga Youth Synod, consisting of up to 15 representatives from each Tikanga, will meet once each year.  Each </w:t>
            </w:r>
            <w:proofErr w:type="spellStart"/>
            <w:r>
              <w:rPr>
                <w:rFonts w:ascii="Arial Mäori" w:hAnsi="Arial Mäori" w:cs="Arial Mäori"/>
                <w:sz w:val="22"/>
              </w:rPr>
              <w:t>TIkanga</w:t>
            </w:r>
            <w:proofErr w:type="spellEnd"/>
            <w:r>
              <w:rPr>
                <w:rFonts w:ascii="Arial Mäori" w:hAnsi="Arial Mäori" w:cs="Arial Mäori"/>
                <w:sz w:val="22"/>
              </w:rPr>
              <w:t xml:space="preserve"> shall determine its own processes for selecting those representatives.</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p>
        </w:tc>
      </w:tr>
    </w:tbl>
    <w:p w:rsidR="00C22D0B" w:rsidRDefault="00C22D0B" w:rsidP="00094D21">
      <w:pPr>
        <w:spacing w:after="120"/>
        <w:rPr>
          <w:rFonts w:ascii="Arial Mäori" w:hAnsi="Arial Mäori" w:cs="Arial Mäori"/>
          <w:spacing w:val="-3"/>
          <w:sz w:val="22"/>
          <w:lang w:val="en-US"/>
        </w:rPr>
        <w:sectPr w:rsidR="00C22D0B">
          <w:footerReference w:type="default" r:id="rId12"/>
          <w:pgSz w:w="11906" w:h="16838"/>
          <w:pgMar w:top="1440" w:right="1440" w:bottom="1440" w:left="1440" w:header="708" w:footer="708" w:gutter="0"/>
          <w:cols w:space="708"/>
          <w:docGrid w:linePitch="360"/>
        </w:sectPr>
      </w:pPr>
    </w:p>
    <w:tbl>
      <w:tblPr>
        <w:tblW w:w="9192" w:type="dxa"/>
        <w:tblInd w:w="-12" w:type="dxa"/>
        <w:tblLayout w:type="fixed"/>
        <w:tblLook w:val="0000" w:firstRow="0" w:lastRow="0" w:firstColumn="0" w:lastColumn="0" w:noHBand="0" w:noVBand="0"/>
      </w:tblPr>
      <w:tblGrid>
        <w:gridCol w:w="665"/>
        <w:gridCol w:w="6967"/>
        <w:gridCol w:w="1560"/>
      </w:tblGrid>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Default="00C22D0B" w:rsidP="00C22D0B">
            <w:pPr>
              <w:pStyle w:val="ListParagraph"/>
              <w:numPr>
                <w:ilvl w:val="0"/>
                <w:numId w:val="1"/>
              </w:numPr>
              <w:spacing w:after="120"/>
              <w:ind w:hanging="720"/>
              <w:jc w:val="both"/>
              <w:rPr>
                <w:rFonts w:ascii="Arial Mäori" w:hAnsi="Arial Mäori" w:cs="Arial Mäori"/>
                <w:sz w:val="22"/>
              </w:rPr>
            </w:pPr>
            <w:r>
              <w:rPr>
                <w:rFonts w:ascii="Arial Mäori" w:hAnsi="Arial Mäori" w:cs="Arial Mäori"/>
                <w:sz w:val="22"/>
              </w:rPr>
              <w:t>The functions of the Tikanga Youth Synod include:</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Default="00C22D0B" w:rsidP="00A04491">
            <w:pPr>
              <w:pStyle w:val="ListParagraph"/>
              <w:numPr>
                <w:ilvl w:val="0"/>
                <w:numId w:val="6"/>
              </w:numPr>
              <w:ind w:left="1434" w:hanging="357"/>
              <w:jc w:val="both"/>
              <w:rPr>
                <w:rFonts w:ascii="Arial Mäori" w:hAnsi="Arial Mäori" w:cs="Arial Mäori"/>
                <w:sz w:val="22"/>
              </w:rPr>
            </w:pPr>
            <w:r>
              <w:rPr>
                <w:rFonts w:ascii="Arial Mäori" w:hAnsi="Arial Mäori" w:cs="Arial Mäori"/>
                <w:sz w:val="22"/>
              </w:rPr>
              <w:t xml:space="preserve">Electing six members of the </w:t>
            </w:r>
            <w:proofErr w:type="spellStart"/>
            <w:r>
              <w:rPr>
                <w:rFonts w:ascii="Arial Mäori" w:hAnsi="Arial Mäori" w:cs="Arial Mäori"/>
                <w:sz w:val="22"/>
              </w:rPr>
              <w:t>TIkanga</w:t>
            </w:r>
            <w:proofErr w:type="spellEnd"/>
            <w:r>
              <w:rPr>
                <w:rFonts w:ascii="Arial Mäori" w:hAnsi="Arial Mäori" w:cs="Arial Mäori"/>
                <w:sz w:val="22"/>
              </w:rPr>
              <w:t xml:space="preserve"> Youth Commission</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Default="00C22D0B" w:rsidP="00A04491">
            <w:pPr>
              <w:pStyle w:val="ListParagraph"/>
              <w:numPr>
                <w:ilvl w:val="0"/>
                <w:numId w:val="6"/>
              </w:numPr>
              <w:ind w:left="1434" w:hanging="357"/>
              <w:jc w:val="both"/>
              <w:rPr>
                <w:rFonts w:ascii="Arial Mäori" w:hAnsi="Arial Mäori" w:cs="Arial Mäori"/>
                <w:sz w:val="22"/>
              </w:rPr>
            </w:pPr>
            <w:r>
              <w:rPr>
                <w:rFonts w:ascii="Arial Mäori" w:hAnsi="Arial Mäori" w:cs="Arial Mäori"/>
                <w:sz w:val="22"/>
              </w:rPr>
              <w:t xml:space="preserve">Receiving reports from the Tikanga Toru Youth Commission </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Default="00C22D0B" w:rsidP="00C22D0B">
            <w:pPr>
              <w:pStyle w:val="ListParagraph"/>
              <w:numPr>
                <w:ilvl w:val="0"/>
                <w:numId w:val="6"/>
              </w:numPr>
              <w:spacing w:after="120"/>
              <w:jc w:val="both"/>
              <w:rPr>
                <w:rFonts w:ascii="Arial Mäori" w:hAnsi="Arial Mäori" w:cs="Arial Mäori"/>
                <w:sz w:val="22"/>
              </w:rPr>
            </w:pPr>
            <w:r>
              <w:rPr>
                <w:rFonts w:ascii="Arial Mäori" w:hAnsi="Arial Mäori" w:cs="Arial Mäori"/>
                <w:sz w:val="22"/>
              </w:rPr>
              <w:t>Informing the Tikanga Toru Youth Commission in its developing of a vision and setting of strategy for Three Tikanga Youth Ministry</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p>
        </w:tc>
      </w:tr>
      <w:tr w:rsidR="00C22D0B" w:rsidTr="00094D21">
        <w:tc>
          <w:tcPr>
            <w:tcW w:w="665" w:type="dxa"/>
          </w:tcPr>
          <w:p w:rsidR="00C22D0B" w:rsidRDefault="00C22D0B" w:rsidP="00094D21">
            <w:pPr>
              <w:spacing w:after="120"/>
              <w:rPr>
                <w:rFonts w:ascii="Arial Mäori" w:hAnsi="Arial Mäori" w:cs="Arial Mäori"/>
                <w:spacing w:val="-3"/>
                <w:sz w:val="22"/>
                <w:lang w:val="en-US"/>
              </w:rPr>
            </w:pPr>
          </w:p>
        </w:tc>
        <w:tc>
          <w:tcPr>
            <w:tcW w:w="6967" w:type="dxa"/>
          </w:tcPr>
          <w:p w:rsidR="00C22D0B" w:rsidRDefault="00C22D0B" w:rsidP="00C22D0B">
            <w:pPr>
              <w:pStyle w:val="ListParagraph"/>
              <w:numPr>
                <w:ilvl w:val="0"/>
                <w:numId w:val="1"/>
              </w:numPr>
              <w:spacing w:after="120"/>
              <w:ind w:hanging="720"/>
              <w:jc w:val="both"/>
              <w:rPr>
                <w:rFonts w:ascii="Arial Mäori" w:hAnsi="Arial Mäori" w:cs="Arial Mäori"/>
                <w:sz w:val="22"/>
              </w:rPr>
            </w:pPr>
            <w:r>
              <w:rPr>
                <w:rFonts w:ascii="Arial Mäori" w:hAnsi="Arial Mäori" w:cs="Arial Mäori"/>
                <w:sz w:val="22"/>
              </w:rPr>
              <w:t>In the conduct of its business, the Three Tikanga Youth Synod will take into account each Tikanga.</w:t>
            </w:r>
          </w:p>
        </w:tc>
        <w:tc>
          <w:tcPr>
            <w:tcW w:w="1560" w:type="dxa"/>
          </w:tcPr>
          <w:p w:rsidR="00C22D0B" w:rsidRDefault="00C22D0B" w:rsidP="00094D21">
            <w:pPr>
              <w:tabs>
                <w:tab w:val="left" w:pos="-1440"/>
                <w:tab w:val="left" w:pos="-720"/>
                <w:tab w:val="left" w:pos="0"/>
                <w:tab w:val="left" w:pos="720"/>
                <w:tab w:val="left" w:pos="1224"/>
                <w:tab w:val="left" w:pos="2358"/>
                <w:tab w:val="left" w:pos="2880"/>
              </w:tabs>
              <w:suppressAutoHyphens/>
              <w:spacing w:after="120"/>
              <w:ind w:right="34"/>
              <w:jc w:val="both"/>
              <w:rPr>
                <w:rFonts w:ascii="Arial Mäori" w:hAnsi="Arial Mäori" w:cs="Arial Mäori"/>
                <w:i/>
                <w:spacing w:val="-3"/>
                <w:sz w:val="18"/>
                <w:szCs w:val="18"/>
                <w:lang w:val="en-US"/>
              </w:rPr>
            </w:pPr>
          </w:p>
        </w:tc>
      </w:tr>
    </w:tbl>
    <w:p w:rsidR="00C53B95" w:rsidRDefault="00C53B95"/>
    <w:sectPr w:rsidR="00C53B9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071" w:rsidRDefault="006A3071" w:rsidP="00C22D0B">
      <w:r>
        <w:separator/>
      </w:r>
    </w:p>
  </w:endnote>
  <w:endnote w:type="continuationSeparator" w:id="0">
    <w:p w:rsidR="006A3071" w:rsidRDefault="006A3071" w:rsidP="00C2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äori">
    <w:altName w:val="Arial"/>
    <w:charset w:val="00"/>
    <w:family w:val="swiss"/>
    <w:pitch w:val="variable"/>
    <w:sig w:usb0="0000000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86D" w:rsidRDefault="00C22D0B">
    <w:pPr>
      <w:pStyle w:val="Footer"/>
      <w:framePr w:wrap="around" w:vAnchor="text" w:hAnchor="margin" w:xAlign="center" w:y="1"/>
      <w:rPr>
        <w:rStyle w:val="PageNumber"/>
      </w:rPr>
    </w:pPr>
    <w:r>
      <w:rPr>
        <w:rStyle w:val="PageNumber"/>
      </w:rPr>
      <w:t xml:space="preserve">   </w:t>
    </w:r>
  </w:p>
  <w:p w:rsidR="00D4186D" w:rsidRPr="009D08B5" w:rsidRDefault="00C22D0B" w:rsidP="008D2415">
    <w:pPr>
      <w:pStyle w:val="Footer"/>
      <w:tabs>
        <w:tab w:val="clear" w:pos="8306"/>
        <w:tab w:val="right" w:pos="8931"/>
      </w:tabs>
      <w:ind w:right="-619"/>
      <w:jc w:val="center"/>
      <w:rPr>
        <w:color w:val="FF0000"/>
        <w:lang w:val="en-US"/>
      </w:rPr>
    </w:pPr>
    <w:r>
      <w:tab/>
      <w:t>- B.8</w:t>
    </w:r>
    <w:r w:rsidR="00EF3914">
      <w:t>7</w:t>
    </w:r>
    <w:r>
      <w:rPr>
        <w:rStyle w:val="PageNumber"/>
      </w:rPr>
      <w:t xml:space="preserve"> </w:t>
    </w:r>
    <w:r w:rsidR="009D08B5">
      <w:rPr>
        <w:rStyle w:val="PageNumber"/>
      </w:rPr>
      <w:t xml:space="preserve">- </w:t>
    </w:r>
    <w:r w:rsidR="009D08B5">
      <w:rPr>
        <w:rStyle w:val="PageNumber"/>
      </w:rPr>
      <w:tab/>
    </w:r>
    <w:r w:rsidR="009D08B5" w:rsidRPr="00817938">
      <w:rPr>
        <w:rStyle w:val="PageNumber"/>
      </w:rPr>
      <w:t>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D0B" w:rsidRDefault="00C22D0B">
    <w:pPr>
      <w:pStyle w:val="Footer"/>
      <w:framePr w:wrap="around" w:vAnchor="text" w:hAnchor="margin" w:xAlign="center" w:y="1"/>
      <w:rPr>
        <w:rStyle w:val="PageNumber"/>
      </w:rPr>
    </w:pPr>
    <w:r>
      <w:rPr>
        <w:rStyle w:val="PageNumber"/>
      </w:rPr>
      <w:t xml:space="preserve">   </w:t>
    </w:r>
  </w:p>
  <w:p w:rsidR="00C22D0B" w:rsidRDefault="00C22D0B" w:rsidP="008D2415">
    <w:pPr>
      <w:pStyle w:val="Footer"/>
      <w:tabs>
        <w:tab w:val="clear" w:pos="8306"/>
        <w:tab w:val="right" w:pos="8931"/>
      </w:tabs>
      <w:ind w:right="-619"/>
      <w:jc w:val="center"/>
      <w:rPr>
        <w:lang w:val="en-US"/>
      </w:rPr>
    </w:pPr>
    <w:r>
      <w:tab/>
      <w:t>- B.8</w:t>
    </w:r>
    <w:r w:rsidR="00EF3914">
      <w:t>8</w:t>
    </w:r>
    <w:r>
      <w:rPr>
        <w:rStyle w:val="PageNumber"/>
      </w:rPr>
      <w:t xml:space="preserve"> -</w:t>
    </w:r>
    <w:r>
      <w:rPr>
        <w:rStyle w:val="PageNumber"/>
      </w:rPr>
      <w:tab/>
    </w:r>
    <w:r>
      <w:rPr>
        <w:lang w:val="en-US"/>
      </w:rPr>
      <w:t>2010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D0B" w:rsidRDefault="00C22D0B">
    <w:pPr>
      <w:pStyle w:val="Footer"/>
      <w:framePr w:wrap="around" w:vAnchor="text" w:hAnchor="margin" w:xAlign="center" w:y="1"/>
      <w:rPr>
        <w:rStyle w:val="PageNumber"/>
      </w:rPr>
    </w:pPr>
    <w:r>
      <w:rPr>
        <w:rStyle w:val="PageNumber"/>
      </w:rPr>
      <w:t xml:space="preserve">   </w:t>
    </w:r>
  </w:p>
  <w:p w:rsidR="00C22D0B" w:rsidRDefault="00C22D0B" w:rsidP="008D2415">
    <w:pPr>
      <w:pStyle w:val="Footer"/>
      <w:tabs>
        <w:tab w:val="clear" w:pos="8306"/>
        <w:tab w:val="right" w:pos="8931"/>
      </w:tabs>
      <w:ind w:right="-619"/>
      <w:jc w:val="center"/>
      <w:rPr>
        <w:lang w:val="en-US"/>
      </w:rPr>
    </w:pPr>
    <w:r>
      <w:tab/>
      <w:t>- B.8</w:t>
    </w:r>
    <w:r w:rsidR="00EF3914">
      <w:t>9</w:t>
    </w:r>
    <w:r>
      <w:rPr>
        <w:rStyle w:val="PageNumber"/>
      </w:rPr>
      <w:t xml:space="preserve"> -</w:t>
    </w:r>
    <w:r>
      <w:rPr>
        <w:rStyle w:val="PageNumber"/>
      </w:rPr>
      <w:tab/>
    </w:r>
    <w:r>
      <w:rPr>
        <w:lang w:val="en-US"/>
      </w:rPr>
      <w:t>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071" w:rsidRDefault="006A3071" w:rsidP="00C22D0B">
      <w:r>
        <w:separator/>
      </w:r>
    </w:p>
  </w:footnote>
  <w:footnote w:type="continuationSeparator" w:id="0">
    <w:p w:rsidR="006A3071" w:rsidRDefault="006A3071" w:rsidP="00C22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227" w:type="dxa"/>
      <w:jc w:val="right"/>
      <w:tblLayout w:type="fixed"/>
      <w:tblLook w:val="0000" w:firstRow="0" w:lastRow="0" w:firstColumn="0" w:lastColumn="0" w:noHBand="0" w:noVBand="0"/>
    </w:tblPr>
    <w:tblGrid>
      <w:gridCol w:w="709"/>
      <w:gridCol w:w="1134"/>
      <w:gridCol w:w="1384"/>
    </w:tblGrid>
    <w:tr w:rsidR="00D4186D" w:rsidRPr="006A111D" w:rsidTr="006A111D">
      <w:trPr>
        <w:jc w:val="right"/>
      </w:trPr>
      <w:tc>
        <w:tcPr>
          <w:tcW w:w="1843" w:type="dxa"/>
          <w:gridSpan w:val="2"/>
        </w:tcPr>
        <w:p w:rsidR="00D4186D" w:rsidRPr="006A111D" w:rsidRDefault="00C22D0B">
          <w:pPr>
            <w:rPr>
              <w:rFonts w:ascii="Arial Mäori" w:hAnsi="Arial Mäori"/>
              <w:b/>
              <w:sz w:val="22"/>
            </w:rPr>
          </w:pPr>
          <w:r>
            <w:rPr>
              <w:rFonts w:ascii="Arial Mäori" w:hAnsi="Arial Mäori"/>
              <w:b/>
              <w:sz w:val="22"/>
            </w:rPr>
            <w:t>CANON XXXVI</w:t>
          </w:r>
        </w:p>
      </w:tc>
      <w:tc>
        <w:tcPr>
          <w:tcW w:w="1384" w:type="dxa"/>
        </w:tcPr>
        <w:p w:rsidR="00D4186D" w:rsidRPr="006A111D" w:rsidRDefault="00C22D0B">
          <w:pPr>
            <w:ind w:left="-537"/>
            <w:jc w:val="right"/>
            <w:rPr>
              <w:rFonts w:ascii="Arial" w:hAnsi="Arial" w:cs="Arial"/>
              <w:b/>
              <w:bCs/>
              <w:sz w:val="22"/>
            </w:rPr>
          </w:pPr>
          <w:r>
            <w:rPr>
              <w:rFonts w:ascii="Arial" w:hAnsi="Arial" w:cs="Arial"/>
              <w:b/>
              <w:bCs/>
              <w:sz w:val="22"/>
            </w:rPr>
            <w:t>TITLE B</w:t>
          </w:r>
        </w:p>
      </w:tc>
    </w:tr>
    <w:tr w:rsidR="00D4186D" w:rsidTr="006A111D">
      <w:trPr>
        <w:gridBefore w:val="1"/>
        <w:wBefore w:w="709" w:type="dxa"/>
        <w:jc w:val="right"/>
      </w:trPr>
      <w:tc>
        <w:tcPr>
          <w:tcW w:w="1134" w:type="dxa"/>
        </w:tcPr>
        <w:p w:rsidR="00D4186D" w:rsidRDefault="006A3071">
          <w:pPr>
            <w:rPr>
              <w:rFonts w:ascii="Arial Mäori" w:hAnsi="Arial Mäori"/>
              <w:sz w:val="22"/>
            </w:rPr>
          </w:pPr>
        </w:p>
      </w:tc>
      <w:tc>
        <w:tcPr>
          <w:tcW w:w="1384" w:type="dxa"/>
        </w:tcPr>
        <w:p w:rsidR="00D4186D" w:rsidRDefault="006A3071">
          <w:pPr>
            <w:ind w:left="-537"/>
            <w:jc w:val="right"/>
            <w:rPr>
              <w:rFonts w:ascii="Arial" w:hAnsi="Arial" w:cs="Arial"/>
              <w:b/>
              <w:bCs/>
              <w:i/>
              <w:sz w:val="22"/>
            </w:rPr>
          </w:pPr>
        </w:p>
      </w:tc>
    </w:tr>
  </w:tbl>
  <w:p w:rsidR="00D4186D" w:rsidRDefault="006A3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169B"/>
    <w:multiLevelType w:val="hybridMultilevel"/>
    <w:tmpl w:val="092E7160"/>
    <w:lvl w:ilvl="0" w:tplc="3198F6FE">
      <w:start w:val="1"/>
      <w:numFmt w:val="lowerLetter"/>
      <w:lvlText w:val="(%1)"/>
      <w:lvlJc w:val="left"/>
      <w:pPr>
        <w:ind w:left="1017" w:hanging="360"/>
      </w:pPr>
      <w:rPr>
        <w:rFonts w:hint="default"/>
      </w:rPr>
    </w:lvl>
    <w:lvl w:ilvl="1" w:tplc="14090019" w:tentative="1">
      <w:start w:val="1"/>
      <w:numFmt w:val="lowerLetter"/>
      <w:lvlText w:val="%2."/>
      <w:lvlJc w:val="left"/>
      <w:pPr>
        <w:ind w:left="1737" w:hanging="360"/>
      </w:pPr>
    </w:lvl>
    <w:lvl w:ilvl="2" w:tplc="1409001B" w:tentative="1">
      <w:start w:val="1"/>
      <w:numFmt w:val="lowerRoman"/>
      <w:lvlText w:val="%3."/>
      <w:lvlJc w:val="right"/>
      <w:pPr>
        <w:ind w:left="2457" w:hanging="180"/>
      </w:pPr>
    </w:lvl>
    <w:lvl w:ilvl="3" w:tplc="1409000F" w:tentative="1">
      <w:start w:val="1"/>
      <w:numFmt w:val="decimal"/>
      <w:lvlText w:val="%4."/>
      <w:lvlJc w:val="left"/>
      <w:pPr>
        <w:ind w:left="3177" w:hanging="360"/>
      </w:pPr>
    </w:lvl>
    <w:lvl w:ilvl="4" w:tplc="14090019" w:tentative="1">
      <w:start w:val="1"/>
      <w:numFmt w:val="lowerLetter"/>
      <w:lvlText w:val="%5."/>
      <w:lvlJc w:val="left"/>
      <w:pPr>
        <w:ind w:left="3897" w:hanging="360"/>
      </w:pPr>
    </w:lvl>
    <w:lvl w:ilvl="5" w:tplc="1409001B" w:tentative="1">
      <w:start w:val="1"/>
      <w:numFmt w:val="lowerRoman"/>
      <w:lvlText w:val="%6."/>
      <w:lvlJc w:val="right"/>
      <w:pPr>
        <w:ind w:left="4617" w:hanging="180"/>
      </w:pPr>
    </w:lvl>
    <w:lvl w:ilvl="6" w:tplc="1409000F" w:tentative="1">
      <w:start w:val="1"/>
      <w:numFmt w:val="decimal"/>
      <w:lvlText w:val="%7."/>
      <w:lvlJc w:val="left"/>
      <w:pPr>
        <w:ind w:left="5337" w:hanging="360"/>
      </w:pPr>
    </w:lvl>
    <w:lvl w:ilvl="7" w:tplc="14090019" w:tentative="1">
      <w:start w:val="1"/>
      <w:numFmt w:val="lowerLetter"/>
      <w:lvlText w:val="%8."/>
      <w:lvlJc w:val="left"/>
      <w:pPr>
        <w:ind w:left="6057" w:hanging="360"/>
      </w:pPr>
    </w:lvl>
    <w:lvl w:ilvl="8" w:tplc="1409001B" w:tentative="1">
      <w:start w:val="1"/>
      <w:numFmt w:val="lowerRoman"/>
      <w:lvlText w:val="%9."/>
      <w:lvlJc w:val="right"/>
      <w:pPr>
        <w:ind w:left="6777" w:hanging="180"/>
      </w:pPr>
    </w:lvl>
  </w:abstractNum>
  <w:abstractNum w:abstractNumId="1" w15:restartNumberingAfterBreak="0">
    <w:nsid w:val="3C59513F"/>
    <w:multiLevelType w:val="hybridMultilevel"/>
    <w:tmpl w:val="60DAE24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42F61CB2"/>
    <w:multiLevelType w:val="hybridMultilevel"/>
    <w:tmpl w:val="F6ACC364"/>
    <w:lvl w:ilvl="0" w:tplc="4E766EB8">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 w15:restartNumberingAfterBreak="0">
    <w:nsid w:val="48006401"/>
    <w:multiLevelType w:val="hybridMultilevel"/>
    <w:tmpl w:val="6F34B04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646B2D6B"/>
    <w:multiLevelType w:val="hybridMultilevel"/>
    <w:tmpl w:val="C9C87A1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77B47C4E"/>
    <w:multiLevelType w:val="hybridMultilevel"/>
    <w:tmpl w:val="08F2B0E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0B"/>
    <w:rsid w:val="00497804"/>
    <w:rsid w:val="006A3071"/>
    <w:rsid w:val="006E7CDD"/>
    <w:rsid w:val="00817938"/>
    <w:rsid w:val="009D08B5"/>
    <w:rsid w:val="009F4C99"/>
    <w:rsid w:val="00A04491"/>
    <w:rsid w:val="00C22D0B"/>
    <w:rsid w:val="00C53B95"/>
    <w:rsid w:val="00EF39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4571"/>
  <w15:chartTrackingRefBased/>
  <w15:docId w15:val="{69B53E96-3B45-44F8-B17A-0D3811B89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22D0B"/>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22D0B"/>
    <w:pPr>
      <w:tabs>
        <w:tab w:val="center" w:pos="4153"/>
        <w:tab w:val="right" w:pos="8306"/>
      </w:tabs>
    </w:pPr>
  </w:style>
  <w:style w:type="character" w:customStyle="1" w:styleId="HeaderChar">
    <w:name w:val="Header Char"/>
    <w:basedOn w:val="DefaultParagraphFont"/>
    <w:link w:val="Header"/>
    <w:semiHidden/>
    <w:rsid w:val="00C22D0B"/>
    <w:rPr>
      <w:rFonts w:ascii="Times New Roman" w:eastAsia="Times New Roman" w:hAnsi="Times New Roman" w:cs="Times New Roman"/>
      <w:sz w:val="20"/>
      <w:szCs w:val="20"/>
      <w:lang w:val="en-AU"/>
    </w:rPr>
  </w:style>
  <w:style w:type="paragraph" w:styleId="Footer">
    <w:name w:val="footer"/>
    <w:basedOn w:val="Normal"/>
    <w:link w:val="FooterChar"/>
    <w:semiHidden/>
    <w:rsid w:val="00C22D0B"/>
    <w:pPr>
      <w:tabs>
        <w:tab w:val="center" w:pos="4153"/>
        <w:tab w:val="right" w:pos="8306"/>
      </w:tabs>
    </w:pPr>
  </w:style>
  <w:style w:type="character" w:customStyle="1" w:styleId="FooterChar">
    <w:name w:val="Footer Char"/>
    <w:basedOn w:val="DefaultParagraphFont"/>
    <w:link w:val="Footer"/>
    <w:semiHidden/>
    <w:rsid w:val="00C22D0B"/>
    <w:rPr>
      <w:rFonts w:ascii="Times New Roman" w:eastAsia="Times New Roman" w:hAnsi="Times New Roman" w:cs="Times New Roman"/>
      <w:sz w:val="20"/>
      <w:szCs w:val="20"/>
      <w:lang w:val="en-AU"/>
    </w:rPr>
  </w:style>
  <w:style w:type="character" w:styleId="PageNumber">
    <w:name w:val="page number"/>
    <w:basedOn w:val="DefaultParagraphFont"/>
    <w:semiHidden/>
    <w:rsid w:val="00C22D0B"/>
  </w:style>
  <w:style w:type="paragraph" w:styleId="ListParagraph">
    <w:name w:val="List Paragraph"/>
    <w:basedOn w:val="Normal"/>
    <w:uiPriority w:val="34"/>
    <w:qFormat/>
    <w:rsid w:val="00C22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6" ma:contentTypeDescription="Create a new document." ma:contentTypeScope="" ma:versionID="8022b7ea6e392a707757ee52c37ced63">
  <xsd:schema xmlns:xsd="http://www.w3.org/2001/XMLSchema" xmlns:xs="http://www.w3.org/2001/XMLSchema" xmlns:p="http://schemas.microsoft.com/office/2006/metadata/properties" xmlns:ns2="4fb0e633-e10e-4f72-bd97-71b29ba6a154" targetNamespace="http://schemas.microsoft.com/office/2006/metadata/properties" ma:root="true" ma:fieldsID="bdfa1aa6340161ece5dba1d8101ee95f" ns2:_="">
    <xsd:import namespace="4fb0e633-e10e-4f72-bd97-71b29ba6a154"/>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9346E2-65B0-4571-973E-8E5CEABFBF0D}">
  <ds:schemaRefs>
    <ds:schemaRef ds:uri="http://schemas.microsoft.com/office/2006/metadata/properties"/>
    <ds:schemaRef ds:uri="http://schemas.microsoft.com/office/infopath/2007/PartnerControls"/>
    <ds:schemaRef ds:uri="4fb0e633-e10e-4f72-bd97-71b29ba6a154"/>
  </ds:schemaRefs>
</ds:datastoreItem>
</file>

<file path=customXml/itemProps2.xml><?xml version="1.0" encoding="utf-8"?>
<ds:datastoreItem xmlns:ds="http://schemas.openxmlformats.org/officeDocument/2006/customXml" ds:itemID="{F16227D8-89DC-402E-8BF0-BFCD0864020C}">
  <ds:schemaRefs>
    <ds:schemaRef ds:uri="http://schemas.microsoft.com/sharepoint/v3/contenttype/forms"/>
  </ds:schemaRefs>
</ds:datastoreItem>
</file>

<file path=customXml/itemProps3.xml><?xml version="1.0" encoding="utf-8"?>
<ds:datastoreItem xmlns:ds="http://schemas.openxmlformats.org/officeDocument/2006/customXml" ds:itemID="{EADA41EB-5C4B-48A9-9E87-0C82B8E5B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Canons 2016 Update B87</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Canons 2016 Update B87</dc:title>
  <dc:subject/>
  <dc:creator>Marissa Alix</dc:creator>
  <cp:keywords/>
  <dc:description/>
  <cp:lastModifiedBy>Marissa Alix</cp:lastModifiedBy>
  <cp:revision>2</cp:revision>
  <dcterms:created xsi:type="dcterms:W3CDTF">2017-04-27T23:17:00Z</dcterms:created>
  <dcterms:modified xsi:type="dcterms:W3CDTF">2017-04-27T23:17:00Z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IsMyDocuments">
    <vt:bool>true</vt:bool>
  </property>
</Properties>
</file>